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2C7A" w:rsidRPr="00B27307" w:rsidRDefault="00000000" w:rsidP="00B27307">
      <w:pPr>
        <w:spacing w:before="160" w:after="160"/>
        <w:ind w:left="113" w:right="113"/>
        <w:jc w:val="center"/>
        <w:rPr>
          <w:rFonts w:ascii="Calibri" w:eastAsia="Calibri" w:hAnsi="Calibri" w:cs="Calibri"/>
          <w:b/>
          <w:sz w:val="32"/>
          <w:szCs w:val="32"/>
        </w:rPr>
      </w:pPr>
      <w:r w:rsidRPr="00B27307">
        <w:rPr>
          <w:rFonts w:ascii="Calibri" w:eastAsia="Calibri" w:hAnsi="Calibri" w:cs="Calibri"/>
          <w:b/>
          <w:sz w:val="32"/>
          <w:szCs w:val="32"/>
        </w:rPr>
        <w:t>Formulář pro odstoupení od smlouvy</w:t>
      </w:r>
    </w:p>
    <w:p w:rsidR="00D42C7A" w:rsidRDefault="00000000">
      <w:pPr>
        <w:spacing w:before="160" w:after="160"/>
        <w:ind w:left="113" w:righ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(vyplňte tento formulář a pošlete jej zpět pouze v případě, že chcete odstoupit od smlouvy)</w:t>
      </w:r>
    </w:p>
    <w:p w:rsidR="00D42C7A" w:rsidRDefault="00D42C7A">
      <w:pPr>
        <w:spacing w:before="160" w:after="160"/>
        <w:ind w:left="113" w:right="113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D42C7A">
        <w:tc>
          <w:tcPr>
            <w:tcW w:w="9062" w:type="dxa"/>
          </w:tcPr>
          <w:p w:rsidR="00D42C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/>
              <w:ind w:left="113" w:right="113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Oznámení o odstoupení od smlouvy</w:t>
            </w:r>
          </w:p>
          <w:p w:rsidR="00D42C7A" w:rsidRDefault="00000000">
            <w:pPr>
              <w:tabs>
                <w:tab w:val="left" w:pos="3240"/>
                <w:tab w:val="left" w:pos="598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Adresát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00B2730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Pekařství a bistro Křižákovi s.r.o.,</w:t>
            </w:r>
          </w:p>
          <w:p w:rsidR="00D42C7A" w:rsidRDefault="00000000">
            <w:pPr>
              <w:tabs>
                <w:tab w:val="left" w:pos="3240"/>
                <w:tab w:val="left" w:pos="598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Masarykova č.p. 2, 691 72 Klobouky u Brna</w:t>
            </w:r>
          </w:p>
          <w:p w:rsidR="00D42C7A" w:rsidRDefault="00000000">
            <w:pPr>
              <w:tabs>
                <w:tab w:val="left" w:pos="3240"/>
                <w:tab w:val="left" w:pos="598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E-mail: eshop@pekarstvikrizak.cz</w:t>
            </w:r>
          </w:p>
          <w:p w:rsidR="00D42C7A" w:rsidRDefault="00D42C7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2C7A" w:rsidRDefault="00D42C7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2C7A" w:rsidRDefault="00D42C7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2C7A" w:rsidRDefault="00D42C7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2C7A" w:rsidRDefault="00000000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Oznamuji/oznamujeme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(*),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že tímto odstupuji/odstupujeme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(*)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 smlouvy o nákupu tohoto zboží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D42C7A" w:rsidRDefault="00D42C7A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2C7A" w:rsidRDefault="00000000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 objednání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*)/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 obdržení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(*)</w:t>
            </w:r>
          </w:p>
          <w:p w:rsidR="00D42C7A" w:rsidRDefault="00D42C7A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2C7A" w:rsidRDefault="00000000">
            <w:pPr>
              <w:spacing w:before="160" w:after="160"/>
              <w:ind w:left="113" w:right="113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 příjmení spotřebitele/spotřebitelů</w:t>
            </w:r>
          </w:p>
          <w:p w:rsidR="00D42C7A" w:rsidRDefault="00D42C7A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2C7A" w:rsidRDefault="00000000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Adresa spotřebitele/spotřebitelů</w:t>
            </w:r>
          </w:p>
          <w:p w:rsidR="00D42C7A" w:rsidRDefault="00D42C7A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2C7A" w:rsidRDefault="00000000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Podpis spotřebitele/spotřebitelů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(pouze pokud je tento formulář zasílán v listinné podobě)</w:t>
            </w:r>
          </w:p>
          <w:p w:rsidR="00D42C7A" w:rsidRDefault="00D42C7A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2C7A" w:rsidRDefault="00000000">
            <w:pPr>
              <w:spacing w:before="160" w:after="160"/>
              <w:ind w:left="113" w:right="113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</w:t>
            </w:r>
          </w:p>
          <w:p w:rsidR="00D42C7A" w:rsidRDefault="00D42C7A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2C7A" w:rsidRDefault="00000000">
            <w:pPr>
              <w:spacing w:before="160" w:after="160"/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(*) Nehodící se škrtněte nebo údaje doplňte.</w:t>
            </w:r>
          </w:p>
        </w:tc>
      </w:tr>
      <w:tr w:rsidR="00D42C7A">
        <w:tc>
          <w:tcPr>
            <w:tcW w:w="9062" w:type="dxa"/>
          </w:tcPr>
          <w:p w:rsidR="009E3C78" w:rsidRPr="009E3C78" w:rsidRDefault="009E3C78" w:rsidP="009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/>
              <w:ind w:left="113" w:right="113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Je-li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kupujíci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spotřebitelem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ma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právo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v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případe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̌,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že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objednal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zboži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od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</w:t>
            </w:r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polečnosti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Pekařství Křižákovi</w:t>
            </w:r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prostřednictvím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prostředku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komunikace na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dálku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nebo mimo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obchodni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prostory (mimo prostor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obvykly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pro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podnikáni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́)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Společnosti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mimo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případy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uvedene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v § 1837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zák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. č. 89/2012 Sb.,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občansky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zákoník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odstoupit od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jiz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̌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uzavřene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smlouvy do 14 dnů ode dne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převzeti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zboži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́, a to bez uvedení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důvodu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a bez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jakékoli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sankce. Toto odstoupení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oznámi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kupujíci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</w:t>
            </w:r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polečnosti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Pekařství Křižákovi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písemne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̌ na adresu provozovny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Společnosti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nebo elektronicky na e-mail uvedený na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vzorovém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formuláři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</w:p>
          <w:p w:rsidR="009E3C78" w:rsidRPr="009E3C78" w:rsidRDefault="009E3C78" w:rsidP="009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/>
              <w:ind w:left="113" w:right="113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Odstoupi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́-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kupujíci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ktery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je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spotřebitelem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od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smlouvy,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zašle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nebo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předa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Společnosti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bez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zbytečného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odkladu,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nejpozději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do 14 dnů od odstoupení od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smlouvy,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zboži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ktere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od ní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obdržel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</w:p>
          <w:p w:rsidR="009E3C78" w:rsidRPr="009E3C78" w:rsidRDefault="009E3C78" w:rsidP="009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/>
              <w:ind w:left="113" w:right="113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Odstoupi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́-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kupujíci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ktery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je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spotřebitelem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od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smlouvy,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vráti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mu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Společnost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bez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zbytečného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odkladu,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nejpozději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do 14 dnů od odstoupení od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smlouvy,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všechny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peněžni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prostředky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lastRenderedPageBreak/>
              <w:t>(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cenu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dodaného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zboži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́)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včetne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̌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nákladu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̊ na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dodáni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ktere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od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něho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na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základe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̌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smlouvy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přijala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stejným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způsobem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Jestliže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kupujíci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zvolil jiný,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nez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̌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nejlevnějši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způsob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dodáni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zboži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ktery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Společnost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nabízi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vráti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Společnost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kupujícímu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náklady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na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dodáni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zboži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pouze ve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výši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odpovídajíci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nejlevnějšímu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nabízenému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způsobu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dodáni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zboži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́.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Společnost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neni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povinna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vrátit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přijate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peněžni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prostředky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kupujícímu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dříve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nez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̌ ji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kupujíci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zboži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předa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nebo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prokáže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že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zboži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Společnosti</w:t>
            </w:r>
            <w:proofErr w:type="spellEnd"/>
            <w:r w:rsidRPr="009E3C7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odeslal. </w:t>
            </w:r>
          </w:p>
          <w:p w:rsidR="00D42C7A" w:rsidRDefault="00D4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/>
              <w:ind w:left="113" w:right="113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D42C7A" w:rsidRDefault="00D42C7A">
      <w:pPr>
        <w:spacing w:before="160" w:after="160"/>
        <w:ind w:right="113"/>
        <w:rPr>
          <w:rFonts w:ascii="Calibri" w:eastAsia="Calibri" w:hAnsi="Calibri" w:cs="Calibri"/>
          <w:sz w:val="22"/>
          <w:szCs w:val="22"/>
        </w:rPr>
      </w:pPr>
    </w:p>
    <w:sectPr w:rsidR="00D42C7A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2C9D" w:rsidRDefault="007C2C9D">
      <w:r>
        <w:separator/>
      </w:r>
    </w:p>
  </w:endnote>
  <w:endnote w:type="continuationSeparator" w:id="0">
    <w:p w:rsidR="007C2C9D" w:rsidRDefault="007C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2C7A" w:rsidRDefault="00D42C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D42C7A" w:rsidRDefault="00D42C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2C7A" w:rsidRDefault="00D42C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2C9D" w:rsidRDefault="007C2C9D">
      <w:r>
        <w:separator/>
      </w:r>
    </w:p>
  </w:footnote>
  <w:footnote w:type="continuationSeparator" w:id="0">
    <w:p w:rsidR="007C2C9D" w:rsidRDefault="007C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2C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42C7A" w:rsidRDefault="00D42C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7A"/>
    <w:rsid w:val="007C2C9D"/>
    <w:rsid w:val="009E3C78"/>
    <w:rsid w:val="00B27307"/>
    <w:rsid w:val="00C50959"/>
    <w:rsid w:val="00D42C7A"/>
    <w:rsid w:val="00D6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84ACB"/>
  <w15:docId w15:val="{764C4DDA-020C-F647-9211-B444C0ED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0DA"/>
  </w:style>
  <w:style w:type="paragraph" w:styleId="Nadpis1">
    <w:name w:val="heading 1"/>
    <w:basedOn w:val="Normln"/>
    <w:next w:val="Normln"/>
    <w:link w:val="Nadpis1Char"/>
    <w:uiPriority w:val="9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F0F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lEygeJp8LCrZ1yasxTDOrSd/A==">CgMxLjAyCGguZ2pkZ3hzOAByITFsbFJWbjcxSFZ2U2g4SFhybHpkY3VYSjVuVE1tcDlWbg==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Kropáček Legal</dc:creator>
  <cp:lastModifiedBy>Kristina Prokopová</cp:lastModifiedBy>
  <cp:revision>3</cp:revision>
  <dcterms:created xsi:type="dcterms:W3CDTF">2019-12-02T16:35:00Z</dcterms:created>
  <dcterms:modified xsi:type="dcterms:W3CDTF">2026-02-08T23:38:00Z</dcterms:modified>
</cp:coreProperties>
</file>